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10B70072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99290E">
        <w:t>13</w:t>
      </w:r>
      <w:r>
        <w:t xml:space="preserve">. </w:t>
      </w:r>
      <w:r w:rsidR="0099290E">
        <w:t>5</w:t>
      </w:r>
      <w:r>
        <w:t>. 202</w:t>
      </w:r>
      <w:r w:rsidR="003747F3">
        <w:t>5</w:t>
      </w:r>
    </w:p>
    <w:p w14:paraId="0BCC6B8E" w14:textId="4DF94017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CF3C9F">
        <w:rPr>
          <w:rFonts w:cs="Calibri"/>
          <w:b/>
          <w:bCs/>
          <w:sz w:val="28"/>
          <w:szCs w:val="28"/>
        </w:rPr>
        <w:t>4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99290E">
        <w:rPr>
          <w:rFonts w:cs="Calibri"/>
          <w:b/>
          <w:bCs/>
          <w:sz w:val="28"/>
          <w:szCs w:val="28"/>
        </w:rPr>
        <w:t>13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99290E">
        <w:rPr>
          <w:rFonts w:cs="Calibri"/>
          <w:b/>
          <w:bCs/>
          <w:sz w:val="28"/>
          <w:szCs w:val="28"/>
        </w:rPr>
        <w:t>5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8A1C6E4" w14:textId="408EE3F8" w:rsidR="00CE276A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Aliapulios,</w:t>
      </w:r>
      <w:r w:rsidR="003747F3">
        <w:rPr>
          <w:rFonts w:cs="Calibri"/>
          <w:sz w:val="24"/>
          <w:szCs w:val="24"/>
        </w:rPr>
        <w:t xml:space="preserve"> P. Fousek,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proofErr w:type="spellStart"/>
      <w:r w:rsidR="00DC56CA">
        <w:rPr>
          <w:rFonts w:cs="Calibri"/>
          <w:sz w:val="24"/>
          <w:szCs w:val="24"/>
        </w:rPr>
        <w:t>Zýcha</w:t>
      </w:r>
      <w:proofErr w:type="spellEnd"/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73D7D5F4" w:rsidR="003E5ABD" w:rsidRPr="00F11BB0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pro bytové domy </w:t>
      </w:r>
      <w:r w:rsidR="0030141C" w:rsidRPr="00F11BB0">
        <w:rPr>
          <w:rFonts w:cs="Calibri"/>
          <w:sz w:val="24"/>
          <w:szCs w:val="24"/>
        </w:rPr>
        <w:t xml:space="preserve">činil </w:t>
      </w:r>
      <w:r w:rsidR="00DC56CA" w:rsidRPr="00F11BB0">
        <w:rPr>
          <w:rFonts w:cs="Calibri"/>
          <w:sz w:val="24"/>
          <w:szCs w:val="24"/>
        </w:rPr>
        <w:t>k</w:t>
      </w:r>
      <w:r w:rsidR="00FA3C5F" w:rsidRPr="00F11BB0">
        <w:rPr>
          <w:rFonts w:cs="Calibri"/>
          <w:sz w:val="24"/>
          <w:szCs w:val="24"/>
        </w:rPr>
        <w:t>e dni</w:t>
      </w:r>
      <w:r w:rsidR="00DC56CA" w:rsidRPr="00F11BB0">
        <w:rPr>
          <w:rFonts w:cs="Calibri"/>
          <w:sz w:val="24"/>
          <w:szCs w:val="24"/>
        </w:rPr>
        <w:t> </w:t>
      </w:r>
      <w:r w:rsidR="0099290E">
        <w:rPr>
          <w:rFonts w:cs="Calibri"/>
          <w:sz w:val="24"/>
          <w:szCs w:val="24"/>
        </w:rPr>
        <w:t>13</w:t>
      </w:r>
      <w:r w:rsidR="00DC56CA" w:rsidRPr="00F11BB0">
        <w:rPr>
          <w:rFonts w:cs="Calibri"/>
          <w:sz w:val="24"/>
          <w:szCs w:val="24"/>
        </w:rPr>
        <w:t xml:space="preserve">. </w:t>
      </w:r>
      <w:r w:rsidR="0099290E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>. 202</w:t>
      </w:r>
      <w:r w:rsidR="003747F3" w:rsidRPr="00F11BB0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 xml:space="preserve"> celkem </w:t>
      </w:r>
      <w:r w:rsidR="009736B4" w:rsidRPr="009736B4">
        <w:rPr>
          <w:rFonts w:cs="Calibri"/>
          <w:sz w:val="24"/>
          <w:szCs w:val="24"/>
        </w:rPr>
        <w:t>438 527,15</w:t>
      </w:r>
      <w:r w:rsidR="00FA3C5F" w:rsidRPr="00F11BB0">
        <w:rPr>
          <w:rFonts w:cs="Calibri"/>
          <w:sz w:val="24"/>
          <w:szCs w:val="24"/>
        </w:rPr>
        <w:t> </w:t>
      </w:r>
      <w:r w:rsidR="00DC56CA" w:rsidRPr="00F11BB0">
        <w:rPr>
          <w:rFonts w:cs="Calibri"/>
          <w:sz w:val="24"/>
          <w:szCs w:val="24"/>
        </w:rPr>
        <w:t>Kč</w:t>
      </w:r>
      <w:r w:rsidR="00401C21" w:rsidRPr="00F11BB0">
        <w:rPr>
          <w:rFonts w:cs="Calibri"/>
          <w:sz w:val="24"/>
          <w:szCs w:val="24"/>
        </w:rPr>
        <w:t>.</w:t>
      </w:r>
    </w:p>
    <w:p w14:paraId="11D10317" w14:textId="728175AF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99290E">
        <w:rPr>
          <w:rFonts w:cs="Calibri"/>
          <w:sz w:val="24"/>
          <w:szCs w:val="24"/>
        </w:rPr>
        <w:t>13</w:t>
      </w:r>
      <w:r w:rsidRPr="00F11BB0">
        <w:rPr>
          <w:rFonts w:cs="Calibri"/>
          <w:sz w:val="24"/>
          <w:szCs w:val="24"/>
        </w:rPr>
        <w:t xml:space="preserve">. </w:t>
      </w:r>
      <w:r w:rsidR="0099290E">
        <w:rPr>
          <w:rFonts w:cs="Calibri"/>
          <w:sz w:val="24"/>
          <w:szCs w:val="24"/>
        </w:rPr>
        <w:t>5</w:t>
      </w:r>
      <w:r w:rsidRPr="00F11BB0">
        <w:rPr>
          <w:rFonts w:cs="Calibri"/>
          <w:sz w:val="24"/>
          <w:szCs w:val="24"/>
        </w:rPr>
        <w:t xml:space="preserve">. 2025 celkem </w:t>
      </w:r>
      <w:r w:rsidR="00213645" w:rsidRPr="00F11BB0">
        <w:rPr>
          <w:rFonts w:cs="Calibri"/>
          <w:sz w:val="24"/>
          <w:szCs w:val="24"/>
        </w:rPr>
        <w:t>1</w:t>
      </w:r>
      <w:r w:rsidR="0099290E">
        <w:rPr>
          <w:rFonts w:cs="Calibri"/>
          <w:sz w:val="24"/>
          <w:szCs w:val="24"/>
        </w:rPr>
        <w:t>1</w:t>
      </w:r>
      <w:r w:rsidR="00213645" w:rsidRPr="00F11BB0">
        <w:rPr>
          <w:rFonts w:cs="Calibri"/>
          <w:sz w:val="24"/>
          <w:szCs w:val="24"/>
        </w:rPr>
        <w:t> </w:t>
      </w:r>
      <w:r w:rsidR="0099290E">
        <w:rPr>
          <w:rFonts w:cs="Calibri"/>
          <w:sz w:val="24"/>
          <w:szCs w:val="24"/>
        </w:rPr>
        <w:t>019 417,27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3184C537" w14:textId="3214C39B" w:rsidR="00910CAB" w:rsidRPr="00192EC8" w:rsidRDefault="00C621E6" w:rsidP="001D44D9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</w:t>
      </w:r>
      <w:r w:rsidR="0099290E">
        <w:rPr>
          <w:rFonts w:cs="Calibri"/>
          <w:sz w:val="24"/>
          <w:szCs w:val="24"/>
        </w:rPr>
        <w:t>30</w:t>
      </w:r>
      <w:r w:rsidRPr="00401C21">
        <w:rPr>
          <w:rFonts w:cs="Calibri"/>
          <w:sz w:val="24"/>
          <w:szCs w:val="24"/>
        </w:rPr>
        <w:t xml:space="preserve">. </w:t>
      </w:r>
      <w:r w:rsidR="0099290E">
        <w:rPr>
          <w:rFonts w:cs="Calibri"/>
          <w:sz w:val="24"/>
          <w:szCs w:val="24"/>
        </w:rPr>
        <w:t>4</w:t>
      </w:r>
      <w:r w:rsidRPr="00401C21">
        <w:rPr>
          <w:rFonts w:cs="Calibri"/>
          <w:sz w:val="24"/>
          <w:szCs w:val="24"/>
        </w:rPr>
        <w:t>.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9F106F" w:rsidRPr="00401C21">
        <w:rPr>
          <w:rFonts w:cs="Calibri"/>
          <w:sz w:val="24"/>
          <w:szCs w:val="24"/>
        </w:rPr>
        <w:t xml:space="preserve">celkem </w:t>
      </w:r>
      <w:r w:rsidR="009736B4">
        <w:rPr>
          <w:rFonts w:cs="Calibri"/>
          <w:sz w:val="24"/>
          <w:szCs w:val="24"/>
        </w:rPr>
        <w:t>2</w:t>
      </w:r>
      <w:r w:rsidR="00C47503" w:rsidRPr="00401C21">
        <w:rPr>
          <w:rFonts w:cs="Calibri"/>
          <w:sz w:val="24"/>
          <w:szCs w:val="24"/>
        </w:rPr>
        <w:t xml:space="preserve"> dlužní</w:t>
      </w:r>
      <w:r w:rsidR="0099290E">
        <w:rPr>
          <w:rFonts w:cs="Calibri"/>
          <w:sz w:val="24"/>
          <w:szCs w:val="24"/>
        </w:rPr>
        <w:t>k</w:t>
      </w:r>
      <w:r w:rsidR="009736B4">
        <w:rPr>
          <w:rFonts w:cs="Calibri"/>
          <w:sz w:val="24"/>
          <w:szCs w:val="24"/>
        </w:rPr>
        <w:t>y</w:t>
      </w:r>
      <w:r w:rsidR="00926115" w:rsidRPr="00401C21">
        <w:rPr>
          <w:rFonts w:cs="Calibri"/>
          <w:sz w:val="24"/>
          <w:szCs w:val="24"/>
        </w:rPr>
        <w:t>.</w:t>
      </w:r>
      <w:r w:rsidR="00EC05F8" w:rsidRPr="00401C21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V</w:t>
      </w:r>
      <w:r w:rsidR="00E44326" w:rsidRPr="00192EC8">
        <w:rPr>
          <w:rFonts w:cs="Calibri"/>
          <w:sz w:val="24"/>
          <w:szCs w:val="24"/>
        </w:rPr>
        <w:t xml:space="preserve"> jednom případě </w:t>
      </w:r>
      <w:r w:rsidR="00EC05F8" w:rsidRPr="00192EC8">
        <w:rPr>
          <w:rFonts w:cs="Calibri"/>
          <w:sz w:val="24"/>
          <w:szCs w:val="24"/>
        </w:rPr>
        <w:t>jde o nízk</w:t>
      </w:r>
      <w:r w:rsidR="00E44326" w:rsidRPr="00192EC8">
        <w:rPr>
          <w:rFonts w:cs="Calibri"/>
          <w:sz w:val="24"/>
          <w:szCs w:val="24"/>
        </w:rPr>
        <w:t>ou</w:t>
      </w:r>
      <w:r w:rsidR="00EC05F8" w:rsidRPr="00192EC8">
        <w:rPr>
          <w:rFonts w:cs="Calibri"/>
          <w:sz w:val="24"/>
          <w:szCs w:val="24"/>
        </w:rPr>
        <w:t xml:space="preserve"> částk</w:t>
      </w:r>
      <w:r w:rsidR="00E44326" w:rsidRPr="00192EC8">
        <w:rPr>
          <w:rFonts w:cs="Calibri"/>
          <w:sz w:val="24"/>
          <w:szCs w:val="24"/>
        </w:rPr>
        <w:t>u</w:t>
      </w:r>
      <w:r w:rsidR="00F11BB0" w:rsidRPr="00192EC8">
        <w:rPr>
          <w:rFonts w:cs="Calibri"/>
          <w:sz w:val="24"/>
          <w:szCs w:val="24"/>
        </w:rPr>
        <w:t>, přičemž dlužník si je dluhu vědom a Výboru SVJ oznámil, že jej uhradí, jakmile mu to finanční situace dovolí</w:t>
      </w:r>
      <w:r w:rsidR="00EC05F8" w:rsidRPr="00192EC8">
        <w:rPr>
          <w:rFonts w:cs="Calibri"/>
          <w:sz w:val="24"/>
          <w:szCs w:val="24"/>
        </w:rPr>
        <w:t xml:space="preserve">. Ve </w:t>
      </w:r>
      <w:r w:rsidR="00401C21" w:rsidRPr="00192EC8">
        <w:rPr>
          <w:rFonts w:cs="Calibri"/>
          <w:sz w:val="24"/>
          <w:szCs w:val="24"/>
        </w:rPr>
        <w:t>druhém</w:t>
      </w:r>
      <w:r w:rsidR="00EC05F8" w:rsidRPr="00192EC8">
        <w:rPr>
          <w:rFonts w:cs="Calibri"/>
          <w:sz w:val="24"/>
          <w:szCs w:val="24"/>
        </w:rPr>
        <w:t xml:space="preserve"> případě se</w:t>
      </w:r>
      <w:r w:rsidR="00926115" w:rsidRPr="00192EC8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j</w:t>
      </w:r>
      <w:r w:rsidR="00926115" w:rsidRPr="00192EC8">
        <w:rPr>
          <w:rFonts w:cs="Calibri"/>
          <w:sz w:val="24"/>
          <w:szCs w:val="24"/>
        </w:rPr>
        <w:t>edná o</w:t>
      </w:r>
      <w:r w:rsidR="00420735" w:rsidRPr="00192EC8">
        <w:rPr>
          <w:rFonts w:cs="Calibri"/>
          <w:sz w:val="24"/>
          <w:szCs w:val="24"/>
        </w:rPr>
        <w:t xml:space="preserve"> dlouhodobého dlužníka SVJ</w:t>
      </w:r>
      <w:r w:rsidR="00926115" w:rsidRPr="00192EC8">
        <w:rPr>
          <w:rFonts w:cs="Calibri"/>
          <w:sz w:val="24"/>
          <w:szCs w:val="24"/>
        </w:rPr>
        <w:t>, jehož dluh nyní</w:t>
      </w:r>
      <w:r w:rsidR="00420735" w:rsidRPr="00192EC8">
        <w:rPr>
          <w:rFonts w:cs="Calibri"/>
          <w:sz w:val="24"/>
          <w:szCs w:val="24"/>
        </w:rPr>
        <w:t xml:space="preserve"> </w:t>
      </w:r>
      <w:r w:rsidR="00926115" w:rsidRPr="00192EC8">
        <w:rPr>
          <w:rFonts w:cs="Calibri"/>
          <w:sz w:val="24"/>
          <w:szCs w:val="24"/>
        </w:rPr>
        <w:t xml:space="preserve">činí </w:t>
      </w:r>
      <w:r w:rsidR="00420735" w:rsidRPr="00192EC8">
        <w:rPr>
          <w:rFonts w:cs="Calibri"/>
          <w:sz w:val="24"/>
          <w:szCs w:val="24"/>
        </w:rPr>
        <w:t>celkem</w:t>
      </w:r>
      <w:r w:rsidR="0034423A" w:rsidRPr="00192EC8">
        <w:rPr>
          <w:rFonts w:cs="Calibri"/>
          <w:sz w:val="24"/>
          <w:szCs w:val="24"/>
        </w:rPr>
        <w:t xml:space="preserve"> 2</w:t>
      </w:r>
      <w:r w:rsidR="009736B4" w:rsidRPr="00192EC8">
        <w:rPr>
          <w:rFonts w:cs="Calibri"/>
          <w:sz w:val="24"/>
          <w:szCs w:val="24"/>
        </w:rPr>
        <w:t>64 597,20</w:t>
      </w:r>
      <w:r w:rsidR="00D20F57" w:rsidRPr="00192EC8">
        <w:rPr>
          <w:rFonts w:cs="Calibri"/>
          <w:sz w:val="24"/>
          <w:szCs w:val="24"/>
        </w:rPr>
        <w:t xml:space="preserve"> Kč.</w:t>
      </w:r>
      <w:r w:rsidR="00EC05F8" w:rsidRPr="00192EC8">
        <w:rPr>
          <w:rFonts w:cs="Calibri"/>
          <w:sz w:val="24"/>
          <w:szCs w:val="24"/>
        </w:rPr>
        <w:t xml:space="preserve"> Část tohoto</w:t>
      </w:r>
      <w:r w:rsidR="00926115" w:rsidRPr="00192EC8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dluhu</w:t>
      </w:r>
      <w:r w:rsidR="00926115" w:rsidRPr="00192EC8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(</w:t>
      </w:r>
      <w:r w:rsidR="00926115" w:rsidRPr="00192EC8">
        <w:rPr>
          <w:rFonts w:cs="Calibri"/>
          <w:sz w:val="24"/>
          <w:szCs w:val="24"/>
        </w:rPr>
        <w:t>za období do 03/2024</w:t>
      </w:r>
      <w:r w:rsidR="00FA3C5F" w:rsidRPr="00192EC8">
        <w:rPr>
          <w:rFonts w:cs="Calibri"/>
          <w:sz w:val="24"/>
          <w:szCs w:val="24"/>
        </w:rPr>
        <w:t xml:space="preserve"> včetně</w:t>
      </w:r>
      <w:r w:rsidR="00EC05F8" w:rsidRPr="00192EC8">
        <w:rPr>
          <w:rFonts w:cs="Calibri"/>
          <w:sz w:val="24"/>
          <w:szCs w:val="24"/>
        </w:rPr>
        <w:t>) je</w:t>
      </w:r>
      <w:r w:rsidR="00926115" w:rsidRPr="00192EC8">
        <w:rPr>
          <w:rFonts w:cs="Calibri"/>
          <w:sz w:val="24"/>
          <w:szCs w:val="24"/>
        </w:rPr>
        <w:t xml:space="preserve"> již vymáhán</w:t>
      </w:r>
      <w:r w:rsidR="00EC05F8" w:rsidRPr="00192EC8">
        <w:rPr>
          <w:rFonts w:cs="Calibri"/>
          <w:sz w:val="24"/>
          <w:szCs w:val="24"/>
        </w:rPr>
        <w:t>a</w:t>
      </w:r>
      <w:r w:rsidR="00926115" w:rsidRPr="00192EC8">
        <w:rPr>
          <w:rFonts w:cs="Calibri"/>
          <w:sz w:val="24"/>
          <w:szCs w:val="24"/>
        </w:rPr>
        <w:t xml:space="preserve"> exekučně. Za další období bude žaloba podána souhrnně opět v</w:t>
      </w:r>
      <w:r w:rsidR="00F11BB0" w:rsidRPr="00192EC8">
        <w:rPr>
          <w:rFonts w:cs="Calibri"/>
          <w:sz w:val="24"/>
          <w:szCs w:val="24"/>
        </w:rPr>
        <w:t> </w:t>
      </w:r>
      <w:r w:rsidR="00926115" w:rsidRPr="00192EC8">
        <w:rPr>
          <w:rFonts w:cs="Calibri"/>
          <w:sz w:val="24"/>
          <w:szCs w:val="24"/>
        </w:rPr>
        <w:t>průběhu</w:t>
      </w:r>
      <w:r w:rsidR="00F11BB0" w:rsidRPr="00192EC8">
        <w:rPr>
          <w:rFonts w:cs="Calibri"/>
          <w:sz w:val="24"/>
          <w:szCs w:val="24"/>
        </w:rPr>
        <w:t xml:space="preserve"> první poloviny</w:t>
      </w:r>
      <w:r w:rsidR="00926115" w:rsidRPr="00192EC8">
        <w:rPr>
          <w:rFonts w:cs="Calibri"/>
          <w:sz w:val="24"/>
          <w:szCs w:val="24"/>
        </w:rPr>
        <w:t xml:space="preserve"> roku 2025.</w:t>
      </w:r>
    </w:p>
    <w:p w14:paraId="6366AF94" w14:textId="77777777" w:rsidR="009F106F" w:rsidRPr="007D4566" w:rsidRDefault="009F106F" w:rsidP="007D4566">
      <w:pPr>
        <w:rPr>
          <w:rFonts w:cs="Calibri"/>
          <w:b/>
          <w:bCs/>
          <w:sz w:val="24"/>
          <w:szCs w:val="24"/>
        </w:rPr>
      </w:pPr>
    </w:p>
    <w:p w14:paraId="3980A114" w14:textId="5E41B532" w:rsidR="00412DA0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</w:t>
      </w:r>
      <w:r w:rsidR="005A45E7">
        <w:rPr>
          <w:rFonts w:cs="Calibri"/>
          <w:b/>
          <w:bCs/>
          <w:sz w:val="24"/>
          <w:szCs w:val="24"/>
        </w:rPr>
        <w:t>otovoltaická elektrárna</w:t>
      </w:r>
    </w:p>
    <w:p w14:paraId="588BA837" w14:textId="635CF0A6" w:rsidR="00CF3C9F" w:rsidRDefault="00CF3C9F" w:rsidP="00CF3C9F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Základní FVE systém je dokončen</w:t>
      </w:r>
      <w:r w:rsidR="00124FE2">
        <w:rPr>
          <w:rFonts w:cs="Calibri"/>
          <w:sz w:val="24"/>
          <w:szCs w:val="24"/>
        </w:rPr>
        <w:t xml:space="preserve"> (technologie i administrativa)</w:t>
      </w:r>
      <w:r>
        <w:rPr>
          <w:rFonts w:cs="Calibri"/>
          <w:sz w:val="24"/>
          <w:szCs w:val="24"/>
        </w:rPr>
        <w:t xml:space="preserve"> a připraven na zahájení zkušebního provozu</w:t>
      </w:r>
      <w:r w:rsidR="00124FE2">
        <w:rPr>
          <w:rFonts w:cs="Calibri"/>
          <w:sz w:val="24"/>
          <w:szCs w:val="24"/>
        </w:rPr>
        <w:t>,</w:t>
      </w:r>
      <w:r>
        <w:rPr>
          <w:rFonts w:cs="Calibri"/>
          <w:sz w:val="24"/>
          <w:szCs w:val="24"/>
        </w:rPr>
        <w:t xml:space="preserve"> jež se uskuteční ještě tento týden (prozatím jen pro napájení výtahů, osvětlení ve společných prostorách a dobíjení bateriového úložiště, jež bude zároveň sloužit jako záloha pro případ výpadku dodávek elektrické energie místo dosavadních UPS). </w:t>
      </w:r>
    </w:p>
    <w:p w14:paraId="5EF4C90D" w14:textId="34759710" w:rsidR="00CF3C9F" w:rsidRDefault="00CF3C9F" w:rsidP="00CF3C9F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Zásobníky vody v prostorách kotelny budou v nejbližších dnech osazeny topnými patronami, po dokončení prací bude vše zapojeno do systému FVE (předpoklad max. do 2 týdnů)</w:t>
      </w:r>
      <w:r w:rsidR="00124FE2">
        <w:rPr>
          <w:rFonts w:cs="Calibri"/>
          <w:sz w:val="24"/>
          <w:szCs w:val="24"/>
        </w:rPr>
        <w:t>.</w:t>
      </w:r>
    </w:p>
    <w:p w14:paraId="4A444A68" w14:textId="463D305F" w:rsidR="00CF3C9F" w:rsidRDefault="00CF3C9F" w:rsidP="00CF3C9F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zajistí uzavření smlouvy s obchodníkem s elektrickou energií. Bez ní není možné do sítě posílat jakoukoli případnou přebytečnou energii z FVE systému</w:t>
      </w:r>
      <w:r w:rsidR="00124FE2">
        <w:rPr>
          <w:rFonts w:cs="Calibri"/>
          <w:sz w:val="24"/>
          <w:szCs w:val="24"/>
        </w:rPr>
        <w:t>.</w:t>
      </w:r>
    </w:p>
    <w:p w14:paraId="11666DCB" w14:textId="7538AC5E" w:rsidR="00AF3A34" w:rsidRPr="007142E8" w:rsidRDefault="00CF3C9F" w:rsidP="007142E8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připomínkoval návrh servisní smlouvy na FVE. Akceptuje-li dodavatel úpravy ze strany Výboru SVJ, bude smlouva</w:t>
      </w:r>
      <w:r w:rsidR="00124FE2">
        <w:rPr>
          <w:rFonts w:cs="Calibri"/>
          <w:sz w:val="24"/>
          <w:szCs w:val="24"/>
        </w:rPr>
        <w:t xml:space="preserve"> uzavřena</w:t>
      </w:r>
      <w:r w:rsidR="007142E8">
        <w:rPr>
          <w:rFonts w:cs="Calibri"/>
          <w:sz w:val="24"/>
          <w:szCs w:val="24"/>
        </w:rPr>
        <w:t>.</w:t>
      </w:r>
    </w:p>
    <w:p w14:paraId="1C3ECA4D" w14:textId="4B2DB52A" w:rsidR="005A45E7" w:rsidRPr="0099290E" w:rsidRDefault="005A45E7" w:rsidP="0099290E">
      <w:pPr>
        <w:spacing w:line="276" w:lineRule="auto"/>
        <w:jc w:val="both"/>
        <w:rPr>
          <w:rFonts w:cs="Calibri"/>
          <w:sz w:val="24"/>
          <w:szCs w:val="24"/>
        </w:rPr>
      </w:pPr>
    </w:p>
    <w:p w14:paraId="29E30BEE" w14:textId="7E7D1DC4" w:rsidR="00691706" w:rsidRDefault="005A45E7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Modernizace v</w:t>
      </w:r>
      <w:r w:rsidR="00691706">
        <w:rPr>
          <w:rFonts w:cs="Calibri"/>
          <w:b/>
          <w:bCs/>
          <w:sz w:val="24"/>
          <w:szCs w:val="24"/>
        </w:rPr>
        <w:t>ýtah</w:t>
      </w:r>
      <w:r>
        <w:rPr>
          <w:rFonts w:cs="Calibri"/>
          <w:b/>
          <w:bCs/>
          <w:sz w:val="24"/>
          <w:szCs w:val="24"/>
        </w:rPr>
        <w:t>ů</w:t>
      </w:r>
    </w:p>
    <w:p w14:paraId="1A4D907F" w14:textId="44FB8AAF" w:rsidR="00124FE2" w:rsidRDefault="00124FE2" w:rsidP="00124FE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dubnu byla zahájena modernizace výtahů (výměna </w:t>
      </w:r>
      <w:r w:rsidRPr="00A94D86">
        <w:rPr>
          <w:rFonts w:cs="Calibri"/>
          <w:sz w:val="24"/>
          <w:szCs w:val="24"/>
        </w:rPr>
        <w:t xml:space="preserve">automatických kabinových dveří </w:t>
      </w:r>
      <w:r>
        <w:rPr>
          <w:rFonts w:cs="Calibri"/>
          <w:sz w:val="24"/>
          <w:szCs w:val="24"/>
        </w:rPr>
        <w:t xml:space="preserve">za řešení zn. </w:t>
      </w:r>
      <w:proofErr w:type="spellStart"/>
      <w:r w:rsidRPr="00A94D86">
        <w:rPr>
          <w:rFonts w:cs="Calibri"/>
          <w:sz w:val="24"/>
          <w:szCs w:val="24"/>
        </w:rPr>
        <w:t>Fermator</w:t>
      </w:r>
      <w:proofErr w:type="spellEnd"/>
      <w:r w:rsidRPr="00A94D86">
        <w:rPr>
          <w:rFonts w:cs="Calibri"/>
          <w:sz w:val="24"/>
          <w:szCs w:val="24"/>
        </w:rPr>
        <w:t xml:space="preserve"> vč. pohonu</w:t>
      </w:r>
      <w:r>
        <w:rPr>
          <w:rFonts w:cs="Calibri"/>
          <w:sz w:val="24"/>
          <w:szCs w:val="24"/>
        </w:rPr>
        <w:t xml:space="preserve">). Do dne konání schůze Výboru SVJ byly </w:t>
      </w:r>
      <w:r>
        <w:rPr>
          <w:rFonts w:cs="Calibri"/>
          <w:sz w:val="24"/>
          <w:szCs w:val="24"/>
        </w:rPr>
        <w:lastRenderedPageBreak/>
        <w:t xml:space="preserve">práce dokončeny ve vchodech 1212 a 1213, ve vchodě 1214 jsou naplánovány na 14. května 2025 a následně se uskuteční postupně i ve vchodech 1215-1218. </w:t>
      </w:r>
      <w:r w:rsidRPr="00A94D86">
        <w:rPr>
          <w:rFonts w:cs="Calibri"/>
          <w:sz w:val="24"/>
          <w:szCs w:val="24"/>
        </w:rPr>
        <w:t>O termínu výměny dveří a souvisejícím odstavení výtahů v</w:t>
      </w:r>
      <w:r>
        <w:rPr>
          <w:rFonts w:cs="Calibri"/>
          <w:sz w:val="24"/>
          <w:szCs w:val="24"/>
        </w:rPr>
        <w:t>e zbývajících</w:t>
      </w:r>
      <w:r w:rsidRPr="00A94D86">
        <w:rPr>
          <w:rFonts w:cs="Calibri"/>
          <w:sz w:val="24"/>
          <w:szCs w:val="24"/>
        </w:rPr>
        <w:t xml:space="preserve"> vchodech budou obyvatelé v dostatečném předstihu informováni.</w:t>
      </w:r>
    </w:p>
    <w:p w14:paraId="74F170D2" w14:textId="77777777" w:rsidR="00124FE2" w:rsidRPr="00A94D86" w:rsidRDefault="00124FE2" w:rsidP="00124FE2">
      <w:pPr>
        <w:pStyle w:val="Odstavecseseznamem"/>
        <w:spacing w:line="276" w:lineRule="auto"/>
        <w:ind w:left="1004"/>
        <w:jc w:val="both"/>
        <w:rPr>
          <w:rFonts w:cs="Calibri"/>
          <w:sz w:val="24"/>
          <w:szCs w:val="24"/>
        </w:rPr>
      </w:pPr>
    </w:p>
    <w:p w14:paraId="061518BA" w14:textId="1AF844EC" w:rsidR="00691706" w:rsidRDefault="00F27675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Revitalizace </w:t>
      </w:r>
      <w:r w:rsidR="002A779D">
        <w:rPr>
          <w:rFonts w:cs="Calibri"/>
          <w:b/>
          <w:bCs/>
          <w:sz w:val="24"/>
          <w:szCs w:val="24"/>
        </w:rPr>
        <w:t>koláren</w:t>
      </w:r>
    </w:p>
    <w:p w14:paraId="7A370E09" w14:textId="393169FB" w:rsidR="00124FE2" w:rsidRPr="00124FE2" w:rsidRDefault="00124FE2" w:rsidP="001156C7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Revitalizace koláren je kompletně dokončena, všem zájemcům byly na vyžádání vydány nové klíče. V rámci projektu se uskutečnily rovněž drobné opravy vnitřních prostor (zejm. opravy poškozených linkrust)</w:t>
      </w:r>
    </w:p>
    <w:p w14:paraId="22B8D283" w14:textId="77777777" w:rsidR="0095684C" w:rsidRPr="00124FE2" w:rsidRDefault="0095684C" w:rsidP="00124FE2">
      <w:pPr>
        <w:spacing w:line="276" w:lineRule="auto"/>
        <w:ind w:left="644"/>
        <w:jc w:val="both"/>
        <w:rPr>
          <w:rFonts w:cs="Calibri"/>
          <w:b/>
          <w:bCs/>
          <w:sz w:val="24"/>
          <w:szCs w:val="24"/>
        </w:rPr>
      </w:pPr>
    </w:p>
    <w:p w14:paraId="1885BDC8" w14:textId="0094A35A" w:rsidR="009F106F" w:rsidRPr="0095684C" w:rsidRDefault="009F106F" w:rsidP="000257D9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7341541F" w14:textId="29E2F978" w:rsidR="00124FE2" w:rsidRPr="00124FE2" w:rsidRDefault="00124FE2" w:rsidP="00124FE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V systému kotelny budou kvůli pokročilé korozi vyměněny </w:t>
      </w:r>
      <w:r w:rsidR="007142E8">
        <w:rPr>
          <w:rFonts w:cs="Calibri"/>
          <w:sz w:val="24"/>
          <w:szCs w:val="24"/>
        </w:rPr>
        <w:t xml:space="preserve">všechny </w:t>
      </w:r>
      <w:r>
        <w:rPr>
          <w:rFonts w:cs="Calibri"/>
          <w:sz w:val="24"/>
          <w:szCs w:val="24"/>
        </w:rPr>
        <w:t>expanzní kotlové nádoby</w:t>
      </w:r>
      <w:r w:rsidR="007142E8">
        <w:rPr>
          <w:rFonts w:cs="Calibri"/>
          <w:sz w:val="24"/>
          <w:szCs w:val="24"/>
        </w:rPr>
        <w:t xml:space="preserve">. </w:t>
      </w:r>
    </w:p>
    <w:p w14:paraId="7805BC0F" w14:textId="0389450B" w:rsidR="00124FE2" w:rsidRPr="00124FE2" w:rsidRDefault="00124FE2" w:rsidP="00124FE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Vzhledem ke zjištěnému vysokému vytížení dodavatelů budou úpravy vyplývající ze závěrů kontroly tepelného zdroje provedeny na podzim (zejm. doplnění tepelné izolace potrubí)</w:t>
      </w:r>
      <w:r w:rsidR="007142E8">
        <w:rPr>
          <w:rFonts w:cs="Calibri"/>
          <w:sz w:val="24"/>
          <w:szCs w:val="24"/>
        </w:rPr>
        <w:t>.</w:t>
      </w:r>
    </w:p>
    <w:p w14:paraId="75CB01AC" w14:textId="04248BE1" w:rsidR="0084300A" w:rsidRPr="00BF625B" w:rsidRDefault="0084300A" w:rsidP="00A94D86">
      <w:pPr>
        <w:pStyle w:val="Odstavecseseznamem"/>
        <w:spacing w:line="276" w:lineRule="auto"/>
        <w:ind w:left="1004"/>
        <w:jc w:val="both"/>
        <w:rPr>
          <w:rFonts w:cs="Calibri"/>
          <w:color w:val="FF0000"/>
          <w:sz w:val="24"/>
          <w:szCs w:val="24"/>
        </w:rPr>
      </w:pPr>
    </w:p>
    <w:p w14:paraId="63E43EE1" w14:textId="51A347F3" w:rsidR="00FC6961" w:rsidRPr="00CE1746" w:rsidRDefault="00FC6961" w:rsidP="00CE1746">
      <w:pPr>
        <w:pStyle w:val="Standard"/>
        <w:jc w:val="both"/>
        <w:rPr>
          <w:rFonts w:cs="Calibri"/>
          <w:sz w:val="24"/>
          <w:szCs w:val="24"/>
        </w:rPr>
      </w:pP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2D85973" w14:textId="3A5A59E3" w:rsidR="009F4055" w:rsidRPr="00BB44CF" w:rsidRDefault="006711E0">
      <w:pPr>
        <w:pStyle w:val="Standard"/>
        <w:jc w:val="both"/>
        <w:rPr>
          <w:rFonts w:cs="Calibri"/>
          <w:sz w:val="24"/>
          <w:szCs w:val="24"/>
        </w:rPr>
      </w:pPr>
      <w:r w:rsidRPr="00124FE2">
        <w:rPr>
          <w:rFonts w:cs="Calibri"/>
          <w:sz w:val="24"/>
          <w:szCs w:val="24"/>
        </w:rPr>
        <w:t>24</w:t>
      </w:r>
      <w:r w:rsidR="009C6EB3" w:rsidRPr="00124FE2">
        <w:rPr>
          <w:rFonts w:cs="Calibri"/>
          <w:sz w:val="24"/>
          <w:szCs w:val="24"/>
        </w:rPr>
        <w:t xml:space="preserve">. </w:t>
      </w:r>
      <w:r w:rsidRPr="00124FE2">
        <w:rPr>
          <w:rFonts w:cs="Calibri"/>
          <w:sz w:val="24"/>
          <w:szCs w:val="24"/>
        </w:rPr>
        <w:t>6</w:t>
      </w:r>
      <w:r w:rsidR="009C6EB3" w:rsidRPr="00124FE2">
        <w:rPr>
          <w:rFonts w:cs="Calibri"/>
          <w:sz w:val="24"/>
          <w:szCs w:val="24"/>
        </w:rPr>
        <w:t>. 202</w:t>
      </w:r>
      <w:r w:rsidR="00DC56CA" w:rsidRPr="00124FE2">
        <w:rPr>
          <w:rFonts w:cs="Calibri"/>
          <w:sz w:val="24"/>
          <w:szCs w:val="24"/>
        </w:rPr>
        <w:t>5</w:t>
      </w:r>
      <w:r w:rsidR="009C6EB3" w:rsidRPr="00124FE2">
        <w:rPr>
          <w:rFonts w:cs="Calibri"/>
          <w:sz w:val="24"/>
          <w:szCs w:val="24"/>
        </w:rPr>
        <w:t xml:space="preserve"> od </w:t>
      </w:r>
      <w:r w:rsidR="0027194E" w:rsidRPr="00124FE2">
        <w:rPr>
          <w:rFonts w:cs="Calibri"/>
          <w:sz w:val="24"/>
          <w:szCs w:val="24"/>
        </w:rPr>
        <w:t>18:</w:t>
      </w:r>
      <w:r w:rsidRPr="00124FE2">
        <w:rPr>
          <w:rFonts w:cs="Calibri"/>
          <w:sz w:val="24"/>
          <w:szCs w:val="24"/>
        </w:rPr>
        <w:t>30</w:t>
      </w:r>
    </w:p>
    <w:p w14:paraId="113ACB48" w14:textId="1536823F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9F4055" w:rsidSect="003747F3">
      <w:headerReference w:type="default" r:id="rId7"/>
      <w:footerReference w:type="default" r:id="rId8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2A585" w14:textId="77777777" w:rsidR="00D0674C" w:rsidRDefault="00D0674C">
      <w:r>
        <w:separator/>
      </w:r>
    </w:p>
  </w:endnote>
  <w:endnote w:type="continuationSeparator" w:id="0">
    <w:p w14:paraId="69185232" w14:textId="77777777" w:rsidR="00D0674C" w:rsidRDefault="00D06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6D80" w14:textId="77777777" w:rsidR="00D0674C" w:rsidRDefault="00D0674C">
      <w:r>
        <w:rPr>
          <w:color w:val="000000"/>
        </w:rPr>
        <w:separator/>
      </w:r>
    </w:p>
  </w:footnote>
  <w:footnote w:type="continuationSeparator" w:id="0">
    <w:p w14:paraId="04E6B88E" w14:textId="77777777" w:rsidR="00D0674C" w:rsidRDefault="00D06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1212 – 1218</w:t>
    </w:r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951345B"/>
    <w:multiLevelType w:val="hybridMultilevel"/>
    <w:tmpl w:val="EA02D860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6309809">
    <w:abstractNumId w:val="19"/>
  </w:num>
  <w:num w:numId="2" w16cid:durableId="2140144991">
    <w:abstractNumId w:val="16"/>
  </w:num>
  <w:num w:numId="3" w16cid:durableId="1157114182">
    <w:abstractNumId w:val="13"/>
  </w:num>
  <w:num w:numId="4" w16cid:durableId="1014646762">
    <w:abstractNumId w:val="3"/>
  </w:num>
  <w:num w:numId="5" w16cid:durableId="1575240911">
    <w:abstractNumId w:val="2"/>
  </w:num>
  <w:num w:numId="6" w16cid:durableId="1240824240">
    <w:abstractNumId w:val="7"/>
  </w:num>
  <w:num w:numId="7" w16cid:durableId="935400667">
    <w:abstractNumId w:val="4"/>
  </w:num>
  <w:num w:numId="8" w16cid:durableId="1890454773">
    <w:abstractNumId w:val="14"/>
  </w:num>
  <w:num w:numId="9" w16cid:durableId="1147471933">
    <w:abstractNumId w:val="6"/>
  </w:num>
  <w:num w:numId="10" w16cid:durableId="1667632342">
    <w:abstractNumId w:val="17"/>
  </w:num>
  <w:num w:numId="11" w16cid:durableId="1387142459">
    <w:abstractNumId w:val="1"/>
  </w:num>
  <w:num w:numId="12" w16cid:durableId="1426195557">
    <w:abstractNumId w:val="15"/>
  </w:num>
  <w:num w:numId="13" w16cid:durableId="1435706870">
    <w:abstractNumId w:val="11"/>
  </w:num>
  <w:num w:numId="14" w16cid:durableId="601256334">
    <w:abstractNumId w:val="5"/>
  </w:num>
  <w:num w:numId="15" w16cid:durableId="1989430638">
    <w:abstractNumId w:val="10"/>
  </w:num>
  <w:num w:numId="16" w16cid:durableId="1070613240">
    <w:abstractNumId w:val="8"/>
  </w:num>
  <w:num w:numId="17" w16cid:durableId="1130322721">
    <w:abstractNumId w:val="12"/>
  </w:num>
  <w:num w:numId="18" w16cid:durableId="1482040411">
    <w:abstractNumId w:val="18"/>
    <w:lvlOverride w:ilvl="0">
      <w:lvl w:ilvl="0">
        <w:numFmt w:val="lowerLetter"/>
        <w:lvlText w:val="%1."/>
        <w:lvlJc w:val="left"/>
      </w:lvl>
    </w:lvlOverride>
  </w:num>
  <w:num w:numId="19" w16cid:durableId="233007135">
    <w:abstractNumId w:val="9"/>
  </w:num>
  <w:num w:numId="20" w16cid:durableId="862593852">
    <w:abstractNumId w:val="20"/>
  </w:num>
  <w:num w:numId="21" w16cid:durableId="1565682885">
    <w:abstractNumId w:val="21"/>
  </w:num>
  <w:num w:numId="22" w16cid:durableId="243951136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436F"/>
    <w:rsid w:val="00035107"/>
    <w:rsid w:val="000442F7"/>
    <w:rsid w:val="000611B0"/>
    <w:rsid w:val="00063594"/>
    <w:rsid w:val="00064C68"/>
    <w:rsid w:val="00067E4F"/>
    <w:rsid w:val="0007581B"/>
    <w:rsid w:val="000778F1"/>
    <w:rsid w:val="000918E1"/>
    <w:rsid w:val="000A663A"/>
    <w:rsid w:val="000B771A"/>
    <w:rsid w:val="000C231F"/>
    <w:rsid w:val="000C50BA"/>
    <w:rsid w:val="000D476A"/>
    <w:rsid w:val="000D4AB0"/>
    <w:rsid w:val="000D7465"/>
    <w:rsid w:val="000E3C79"/>
    <w:rsid w:val="000F4282"/>
    <w:rsid w:val="001016DF"/>
    <w:rsid w:val="00101B27"/>
    <w:rsid w:val="00107600"/>
    <w:rsid w:val="00111624"/>
    <w:rsid w:val="00114EC9"/>
    <w:rsid w:val="001156C7"/>
    <w:rsid w:val="00121C0C"/>
    <w:rsid w:val="00123E0D"/>
    <w:rsid w:val="00124FE2"/>
    <w:rsid w:val="00126F8E"/>
    <w:rsid w:val="00131DD8"/>
    <w:rsid w:val="0013448A"/>
    <w:rsid w:val="001367E9"/>
    <w:rsid w:val="00140875"/>
    <w:rsid w:val="00142807"/>
    <w:rsid w:val="001460A6"/>
    <w:rsid w:val="001577BF"/>
    <w:rsid w:val="00163524"/>
    <w:rsid w:val="00173759"/>
    <w:rsid w:val="00173FB5"/>
    <w:rsid w:val="0017763F"/>
    <w:rsid w:val="00180FA9"/>
    <w:rsid w:val="00181DA4"/>
    <w:rsid w:val="00183362"/>
    <w:rsid w:val="00187DFA"/>
    <w:rsid w:val="00192EC8"/>
    <w:rsid w:val="0019539C"/>
    <w:rsid w:val="001969D3"/>
    <w:rsid w:val="001A328A"/>
    <w:rsid w:val="001B5B17"/>
    <w:rsid w:val="001C46BA"/>
    <w:rsid w:val="001D44D9"/>
    <w:rsid w:val="001E44B5"/>
    <w:rsid w:val="001E7200"/>
    <w:rsid w:val="001F19E9"/>
    <w:rsid w:val="001F322D"/>
    <w:rsid w:val="00206860"/>
    <w:rsid w:val="00213645"/>
    <w:rsid w:val="0021369A"/>
    <w:rsid w:val="002331D0"/>
    <w:rsid w:val="002532CD"/>
    <w:rsid w:val="00255B3B"/>
    <w:rsid w:val="002624A6"/>
    <w:rsid w:val="00263CED"/>
    <w:rsid w:val="0027194E"/>
    <w:rsid w:val="00284712"/>
    <w:rsid w:val="0029545B"/>
    <w:rsid w:val="0029759A"/>
    <w:rsid w:val="002A779D"/>
    <w:rsid w:val="002B258E"/>
    <w:rsid w:val="002B2A11"/>
    <w:rsid w:val="002C11DF"/>
    <w:rsid w:val="002C22E2"/>
    <w:rsid w:val="002D0648"/>
    <w:rsid w:val="002D36DE"/>
    <w:rsid w:val="002E3F5A"/>
    <w:rsid w:val="002F0894"/>
    <w:rsid w:val="002F4F0C"/>
    <w:rsid w:val="0030141C"/>
    <w:rsid w:val="003059A2"/>
    <w:rsid w:val="00311216"/>
    <w:rsid w:val="00314743"/>
    <w:rsid w:val="0031513C"/>
    <w:rsid w:val="00320F76"/>
    <w:rsid w:val="00341248"/>
    <w:rsid w:val="00343D0F"/>
    <w:rsid w:val="0034423A"/>
    <w:rsid w:val="00345C72"/>
    <w:rsid w:val="00351141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92478"/>
    <w:rsid w:val="0039287F"/>
    <w:rsid w:val="0039295B"/>
    <w:rsid w:val="0039570C"/>
    <w:rsid w:val="003A24D4"/>
    <w:rsid w:val="003A6180"/>
    <w:rsid w:val="003B0A20"/>
    <w:rsid w:val="003B53AF"/>
    <w:rsid w:val="003B624B"/>
    <w:rsid w:val="003C3567"/>
    <w:rsid w:val="003D2EE6"/>
    <w:rsid w:val="003D5C7E"/>
    <w:rsid w:val="003E5ABD"/>
    <w:rsid w:val="003E64AC"/>
    <w:rsid w:val="00401C21"/>
    <w:rsid w:val="0040470E"/>
    <w:rsid w:val="0040527F"/>
    <w:rsid w:val="00411684"/>
    <w:rsid w:val="00412DA0"/>
    <w:rsid w:val="00413943"/>
    <w:rsid w:val="00414804"/>
    <w:rsid w:val="00416464"/>
    <w:rsid w:val="00417453"/>
    <w:rsid w:val="00420735"/>
    <w:rsid w:val="004236A7"/>
    <w:rsid w:val="004251B9"/>
    <w:rsid w:val="00432089"/>
    <w:rsid w:val="00434B31"/>
    <w:rsid w:val="004421DB"/>
    <w:rsid w:val="00443A97"/>
    <w:rsid w:val="00445B11"/>
    <w:rsid w:val="004521F6"/>
    <w:rsid w:val="004568E7"/>
    <w:rsid w:val="0045788B"/>
    <w:rsid w:val="00472974"/>
    <w:rsid w:val="004732A8"/>
    <w:rsid w:val="004770F9"/>
    <w:rsid w:val="00491E78"/>
    <w:rsid w:val="004A28EE"/>
    <w:rsid w:val="004A439E"/>
    <w:rsid w:val="004C234E"/>
    <w:rsid w:val="004D353D"/>
    <w:rsid w:val="004D6183"/>
    <w:rsid w:val="004E094B"/>
    <w:rsid w:val="004E6792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10DCE"/>
    <w:rsid w:val="00612500"/>
    <w:rsid w:val="00617E18"/>
    <w:rsid w:val="0062701D"/>
    <w:rsid w:val="00634D0A"/>
    <w:rsid w:val="00641779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5224"/>
    <w:rsid w:val="006A6D2D"/>
    <w:rsid w:val="006B03E0"/>
    <w:rsid w:val="006C2AB5"/>
    <w:rsid w:val="006D60B5"/>
    <w:rsid w:val="006D65D7"/>
    <w:rsid w:val="006E5B7C"/>
    <w:rsid w:val="006E68BF"/>
    <w:rsid w:val="006F2CB5"/>
    <w:rsid w:val="0070286E"/>
    <w:rsid w:val="0070608A"/>
    <w:rsid w:val="00707BF8"/>
    <w:rsid w:val="00707E9B"/>
    <w:rsid w:val="007142E8"/>
    <w:rsid w:val="00715F7B"/>
    <w:rsid w:val="00725FAE"/>
    <w:rsid w:val="00727DB3"/>
    <w:rsid w:val="00730AE0"/>
    <w:rsid w:val="00730FB0"/>
    <w:rsid w:val="0073158D"/>
    <w:rsid w:val="00740CCE"/>
    <w:rsid w:val="00744606"/>
    <w:rsid w:val="007534BA"/>
    <w:rsid w:val="00765CBE"/>
    <w:rsid w:val="0076666C"/>
    <w:rsid w:val="00770035"/>
    <w:rsid w:val="0077520A"/>
    <w:rsid w:val="00775F4A"/>
    <w:rsid w:val="007842A9"/>
    <w:rsid w:val="00791BB0"/>
    <w:rsid w:val="007954E3"/>
    <w:rsid w:val="007A4F18"/>
    <w:rsid w:val="007B1668"/>
    <w:rsid w:val="007B606E"/>
    <w:rsid w:val="007C2060"/>
    <w:rsid w:val="007C702F"/>
    <w:rsid w:val="007D4566"/>
    <w:rsid w:val="007E0567"/>
    <w:rsid w:val="007E2E84"/>
    <w:rsid w:val="007E6392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5E04"/>
    <w:rsid w:val="00846F3D"/>
    <w:rsid w:val="00847BE0"/>
    <w:rsid w:val="008525B5"/>
    <w:rsid w:val="00860F15"/>
    <w:rsid w:val="00863A14"/>
    <w:rsid w:val="00880507"/>
    <w:rsid w:val="00890191"/>
    <w:rsid w:val="00890D21"/>
    <w:rsid w:val="008A2EC8"/>
    <w:rsid w:val="008D03A4"/>
    <w:rsid w:val="008D1883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736B4"/>
    <w:rsid w:val="009863CF"/>
    <w:rsid w:val="0099290E"/>
    <w:rsid w:val="0099689B"/>
    <w:rsid w:val="009A2846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02832"/>
    <w:rsid w:val="00A0537A"/>
    <w:rsid w:val="00A147FB"/>
    <w:rsid w:val="00A22244"/>
    <w:rsid w:val="00A359BC"/>
    <w:rsid w:val="00A41514"/>
    <w:rsid w:val="00A434C3"/>
    <w:rsid w:val="00A45CAB"/>
    <w:rsid w:val="00A50338"/>
    <w:rsid w:val="00A50E6E"/>
    <w:rsid w:val="00A569C0"/>
    <w:rsid w:val="00A757ED"/>
    <w:rsid w:val="00A861A4"/>
    <w:rsid w:val="00A92D14"/>
    <w:rsid w:val="00A94D86"/>
    <w:rsid w:val="00AA2D7B"/>
    <w:rsid w:val="00AA6539"/>
    <w:rsid w:val="00AE7139"/>
    <w:rsid w:val="00AF3A34"/>
    <w:rsid w:val="00AF4ECC"/>
    <w:rsid w:val="00AF63F8"/>
    <w:rsid w:val="00B016F0"/>
    <w:rsid w:val="00B03691"/>
    <w:rsid w:val="00B05824"/>
    <w:rsid w:val="00B1019A"/>
    <w:rsid w:val="00B25C2F"/>
    <w:rsid w:val="00B264C3"/>
    <w:rsid w:val="00B61F87"/>
    <w:rsid w:val="00B71778"/>
    <w:rsid w:val="00B734C6"/>
    <w:rsid w:val="00B7396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67B4"/>
    <w:rsid w:val="00C06890"/>
    <w:rsid w:val="00C1431E"/>
    <w:rsid w:val="00C22A52"/>
    <w:rsid w:val="00C45B90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92B02"/>
    <w:rsid w:val="00C94348"/>
    <w:rsid w:val="00C94525"/>
    <w:rsid w:val="00CA315D"/>
    <w:rsid w:val="00CB2463"/>
    <w:rsid w:val="00CB4646"/>
    <w:rsid w:val="00CB648C"/>
    <w:rsid w:val="00CB75CA"/>
    <w:rsid w:val="00CD085B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20F57"/>
    <w:rsid w:val="00D36028"/>
    <w:rsid w:val="00D36ADE"/>
    <w:rsid w:val="00D43294"/>
    <w:rsid w:val="00D43305"/>
    <w:rsid w:val="00D47C18"/>
    <w:rsid w:val="00D51735"/>
    <w:rsid w:val="00D60706"/>
    <w:rsid w:val="00D63177"/>
    <w:rsid w:val="00D631B6"/>
    <w:rsid w:val="00D63F1D"/>
    <w:rsid w:val="00D6732C"/>
    <w:rsid w:val="00D81911"/>
    <w:rsid w:val="00DB37D1"/>
    <w:rsid w:val="00DC0D71"/>
    <w:rsid w:val="00DC1DD1"/>
    <w:rsid w:val="00DC26EC"/>
    <w:rsid w:val="00DC56CA"/>
    <w:rsid w:val="00DD0583"/>
    <w:rsid w:val="00DD0841"/>
    <w:rsid w:val="00DD1271"/>
    <w:rsid w:val="00DD54D2"/>
    <w:rsid w:val="00DD6E21"/>
    <w:rsid w:val="00DE1190"/>
    <w:rsid w:val="00DE65A8"/>
    <w:rsid w:val="00DF3555"/>
    <w:rsid w:val="00E00D4A"/>
    <w:rsid w:val="00E025E8"/>
    <w:rsid w:val="00E02DA2"/>
    <w:rsid w:val="00E0456E"/>
    <w:rsid w:val="00E052DD"/>
    <w:rsid w:val="00E10E1F"/>
    <w:rsid w:val="00E15B12"/>
    <w:rsid w:val="00E22149"/>
    <w:rsid w:val="00E378D7"/>
    <w:rsid w:val="00E37917"/>
    <w:rsid w:val="00E44326"/>
    <w:rsid w:val="00E6044B"/>
    <w:rsid w:val="00E607DA"/>
    <w:rsid w:val="00E655D1"/>
    <w:rsid w:val="00E75FF8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54EA"/>
    <w:rsid w:val="00EF169D"/>
    <w:rsid w:val="00EF20D8"/>
    <w:rsid w:val="00EF2737"/>
    <w:rsid w:val="00EF341F"/>
    <w:rsid w:val="00EF7819"/>
    <w:rsid w:val="00F0329D"/>
    <w:rsid w:val="00F11BB0"/>
    <w:rsid w:val="00F156CF"/>
    <w:rsid w:val="00F16251"/>
    <w:rsid w:val="00F16819"/>
    <w:rsid w:val="00F27675"/>
    <w:rsid w:val="00F3059A"/>
    <w:rsid w:val="00F32512"/>
    <w:rsid w:val="00F40E4C"/>
    <w:rsid w:val="00F632A5"/>
    <w:rsid w:val="00F64886"/>
    <w:rsid w:val="00F65BA2"/>
    <w:rsid w:val="00F6749E"/>
    <w:rsid w:val="00F70237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5145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394</Words>
  <Characters>2327</Characters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2025-03-03T08:09:00Z</dcterms:created>
  <dcterms:modified xsi:type="dcterms:W3CDTF">2025-05-19T11:20:00Z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